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RELAZIONE ONOREVOLE PIA LOCATELLI DEL 26/10/2017 AL ROTARY CLUB DALMINE CENTENARIO</w:t>
      </w:r>
    </w:p>
    <w:p>
      <w:pPr>
        <w:pStyle w:val="Normal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ListParagraph"/>
        <w:numPr>
          <w:ilvl w:val="0"/>
          <w:numId w:val="1"/>
        </w:numPr>
        <w:ind w:left="426" w:hanging="360"/>
        <w:rPr/>
      </w:pPr>
      <w:r>
        <w:rPr/>
        <w:t>Curriculum sintetico della relatrice On. Pia Locatelli</w:t>
      </w:r>
    </w:p>
    <w:p>
      <w:pPr>
        <w:pStyle w:val="Normal"/>
        <w:bidi w:val="0"/>
        <w:spacing w:lineRule="auto" w:line="276" w:before="0" w:after="0"/>
        <w:jc w:val="left"/>
        <w:rPr>
          <w:rFonts w:ascii="Calibri" w:hAnsi="Calibri" w:cs="Arial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22"/>
          <w:szCs w:val="22"/>
        </w:rPr>
      </w:pPr>
      <w:r>
        <w:rPr>
          <w:rFonts w:cs="Arial"/>
          <w:b w:val="false"/>
          <w:i w:val="false"/>
          <w:caps w:val="false"/>
          <w:smallCaps w:val="false"/>
          <w:color w:val="222222"/>
          <w:spacing w:val="0"/>
          <w:sz w:val="22"/>
          <w:szCs w:val="22"/>
        </w:rPr>
        <w:t>Parlamentare eletta nel 2013, è: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left="0" w:right="-340" w:hanging="0"/>
        <w:jc w:val="left"/>
        <w:rPr>
          <w:rFonts w:ascii="Calibri" w:hAnsi="Calibri" w:cs="Arial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22"/>
          <w:szCs w:val="22"/>
        </w:rPr>
      </w:pPr>
      <w:r>
        <w:rPr>
          <w:rFonts w:cs="Arial"/>
          <w:b w:val="false"/>
          <w:i w:val="false"/>
          <w:caps w:val="false"/>
          <w:smallCaps w:val="false"/>
          <w:color w:val="222222"/>
          <w:spacing w:val="0"/>
          <w:sz w:val="22"/>
          <w:szCs w:val="22"/>
        </w:rPr>
        <w:t>- Capogruppo della componente socialista del gruppo Misto alla Camera dei Deputati</w:t>
      </w:r>
    </w:p>
    <w:p>
      <w:pPr>
        <w:pStyle w:val="Normal"/>
        <w:bidi w:val="0"/>
        <w:spacing w:lineRule="auto" w:line="276" w:before="0" w:after="0"/>
        <w:jc w:val="left"/>
        <w:rPr>
          <w:rFonts w:ascii="Calibri" w:hAnsi="Calibri" w:cs="Arial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22"/>
          <w:szCs w:val="22"/>
        </w:rPr>
      </w:pPr>
      <w:r>
        <w:rPr>
          <w:rFonts w:cs="Arial"/>
          <w:b w:val="false"/>
          <w:i w:val="false"/>
          <w:caps w:val="false"/>
          <w:smallCaps w:val="false"/>
          <w:color w:val="222222"/>
          <w:spacing w:val="0"/>
          <w:sz w:val="22"/>
          <w:szCs w:val="22"/>
        </w:rPr>
        <w:t>- Presidente del Comitato Diritti Umani alla Commissione Affari Esteri e Comunitari</w:t>
      </w:r>
    </w:p>
    <w:p>
      <w:pPr>
        <w:pStyle w:val="Normal"/>
        <w:bidi w:val="0"/>
        <w:spacing w:lineRule="auto" w:line="276" w:before="0" w:after="0"/>
        <w:jc w:val="left"/>
        <w:rPr>
          <w:rFonts w:ascii="Calibri" w:hAnsi="Calibri" w:cs="Arial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22"/>
          <w:szCs w:val="22"/>
        </w:rPr>
      </w:pPr>
      <w:r>
        <w:rPr>
          <w:rFonts w:cs="Arial"/>
          <w:b w:val="false"/>
          <w:i w:val="false"/>
          <w:caps w:val="false"/>
          <w:smallCaps w:val="false"/>
          <w:color w:val="222222"/>
          <w:spacing w:val="0"/>
          <w:sz w:val="22"/>
          <w:szCs w:val="22"/>
        </w:rPr>
        <w:t>- Membro del Gruppo di Cooperazione parlamentare Italia-Tunisia</w:t>
      </w:r>
    </w:p>
    <w:p>
      <w:pPr>
        <w:pStyle w:val="Normal"/>
        <w:bidi w:val="0"/>
        <w:spacing w:lineRule="auto" w:line="276" w:before="0" w:after="0"/>
        <w:jc w:val="left"/>
        <w:rPr>
          <w:rFonts w:ascii="Calibri" w:hAnsi="Calibri" w:cs="Arial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22"/>
          <w:szCs w:val="22"/>
        </w:rPr>
      </w:pPr>
      <w:r>
        <w:rPr>
          <w:rFonts w:cs="Arial"/>
          <w:b w:val="false"/>
          <w:i w:val="false"/>
          <w:caps w:val="false"/>
          <w:smallCaps w:val="false"/>
          <w:color w:val="222222"/>
          <w:spacing w:val="0"/>
          <w:sz w:val="22"/>
          <w:szCs w:val="22"/>
        </w:rPr>
        <w:t>- Membro del Gruppo di Contatto con le Parlamentari Afghane</w:t>
      </w:r>
    </w:p>
    <w:p>
      <w:pPr>
        <w:pStyle w:val="Normal"/>
        <w:bidi w:val="0"/>
        <w:spacing w:lineRule="auto" w:line="276" w:before="0" w:after="0"/>
        <w:jc w:val="left"/>
        <w:rPr>
          <w:rFonts w:ascii="Calibri" w:hAnsi="Calibri"/>
          <w:sz w:val="22"/>
          <w:szCs w:val="22"/>
        </w:rPr>
      </w:pPr>
      <w:r>
        <w:rPr>
          <w:rFonts w:cs="Arial"/>
          <w:b w:val="false"/>
          <w:i w:val="false"/>
          <w:caps w:val="false"/>
          <w:smallCaps w:val="false"/>
          <w:color w:val="222222"/>
          <w:spacing w:val="0"/>
          <w:sz w:val="22"/>
          <w:szCs w:val="22"/>
        </w:rPr>
        <w:t xml:space="preserve">- Coordinatrice dell'intergruppo Salute globale e diritti delle donne </w:t>
      </w:r>
    </w:p>
    <w:p>
      <w:pPr>
        <w:pStyle w:val="Normal"/>
        <w:bidi w:val="0"/>
        <w:spacing w:lineRule="auto" w:line="276" w:before="0" w:after="0"/>
        <w:jc w:val="left"/>
        <w:rPr>
          <w:rFonts w:ascii="Calibri" w:hAnsi="Calibri" w:cs="Arial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14"/>
          <w:szCs w:val="14"/>
        </w:rPr>
      </w:pPr>
      <w:r>
        <w:rPr>
          <w:rFonts w:cs="Arial"/>
          <w:b w:val="false"/>
          <w:i w:val="false"/>
          <w:caps w:val="false"/>
          <w:smallCaps w:val="false"/>
          <w:color w:val="222222"/>
          <w:spacing w:val="0"/>
          <w:sz w:val="14"/>
          <w:szCs w:val="14"/>
        </w:rPr>
      </w:r>
    </w:p>
    <w:p>
      <w:pPr>
        <w:pStyle w:val="Normal"/>
        <w:bidi w:val="0"/>
        <w:spacing w:lineRule="auto" w:line="276" w:before="0" w:after="0"/>
        <w:jc w:val="left"/>
        <w:rPr/>
      </w:pPr>
      <w:r>
        <w:rPr>
          <w:rFonts w:cs="Arial"/>
          <w:b w:val="false"/>
          <w:i w:val="false"/>
          <w:caps w:val="false"/>
          <w:smallCaps w:val="false"/>
          <w:color w:val="222222"/>
          <w:spacing w:val="0"/>
          <w:sz w:val="22"/>
          <w:szCs w:val="22"/>
        </w:rPr>
        <w:t xml:space="preserve">Membro </w:t>
      </w:r>
      <w:r>
        <w:rPr>
          <w:rStyle w:val="Enfasiforte"/>
          <w:rFonts w:cs="Arial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del gruppo ristretto “12+” dell’IPU </w:t>
      </w:r>
      <w:r>
        <w:rPr>
          <w:rStyle w:val="Enfasiforte"/>
          <w:rFonts w:cs="Arial"/>
          <w:b w:val="false"/>
          <w:bCs w:val="false"/>
          <w:i w:val="false"/>
          <w:caps w:val="false"/>
          <w:smallCaps w:val="false"/>
          <w:color w:val="222222"/>
          <w:spacing w:val="0"/>
          <w:sz w:val="22"/>
          <w:szCs w:val="22"/>
        </w:rPr>
        <w:t>(Inter-parliamentary Union-</w:t>
      </w:r>
      <w:r>
        <w:rPr>
          <w:rStyle w:val="Enfasiforte"/>
          <w:rFonts w:cs="Arial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Unione Interparlamentare) dove fa parte</w:t>
      </w:r>
      <w:r>
        <w:rPr>
          <w:rFonts w:cs="Arial"/>
          <w:b w:val="false"/>
          <w:i w:val="false"/>
          <w:caps w:val="false"/>
          <w:smallCaps w:val="false"/>
          <w:color w:val="222222"/>
          <w:spacing w:val="0"/>
          <w:sz w:val="22"/>
          <w:szCs w:val="22"/>
        </w:rPr>
        <w:t xml:space="preserve"> dell’Advisory Group su HIV e salute materna, neonatale e infantile</w:t>
      </w:r>
    </w:p>
    <w:p>
      <w:pPr>
        <w:pStyle w:val="Normal"/>
        <w:bidi w:val="0"/>
        <w:spacing w:lineRule="auto" w:line="276" w:before="0" w:after="0"/>
        <w:jc w:val="left"/>
        <w:rPr>
          <w:rFonts w:ascii="Calibri" w:hAnsi="Calibri" w:cs="Arial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14"/>
          <w:szCs w:val="14"/>
        </w:rPr>
      </w:pPr>
      <w:r>
        <w:rPr>
          <w:rFonts w:cs="Arial"/>
          <w:b w:val="false"/>
          <w:i w:val="false"/>
          <w:caps w:val="false"/>
          <w:smallCaps w:val="false"/>
          <w:color w:val="222222"/>
          <w:spacing w:val="0"/>
          <w:sz w:val="14"/>
          <w:szCs w:val="14"/>
        </w:rPr>
      </w:r>
    </w:p>
    <w:p>
      <w:pPr>
        <w:pStyle w:val="Normal"/>
        <w:bidi w:val="0"/>
        <w:spacing w:lineRule="auto" w:line="276" w:before="0" w:after="0"/>
        <w:jc w:val="left"/>
        <w:rPr>
          <w:rFonts w:ascii="Calibri" w:hAnsi="Calibri" w:cs="Arial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22"/>
          <w:szCs w:val="22"/>
        </w:rPr>
      </w:pPr>
      <w:r>
        <w:rPr>
          <w:rFonts w:cs="Arial"/>
          <w:b w:val="false"/>
          <w:i w:val="false"/>
          <w:caps w:val="false"/>
          <w:smallCaps w:val="false"/>
          <w:color w:val="222222"/>
          <w:spacing w:val="0"/>
          <w:sz w:val="22"/>
          <w:szCs w:val="22"/>
        </w:rPr>
        <w:t>Iscritta da sempre al Partito Socialista Italiano, vi ha ricoperto diversi incarichi e attualmente è componente del Consiglio nazionale</w:t>
      </w:r>
    </w:p>
    <w:p>
      <w:pPr>
        <w:pStyle w:val="Normal"/>
        <w:bidi w:val="0"/>
        <w:spacing w:lineRule="auto" w:line="276" w:before="0" w:after="0"/>
        <w:jc w:val="left"/>
        <w:rPr>
          <w:rFonts w:ascii="Calibri" w:hAnsi="Calibri" w:cs="Arial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22"/>
          <w:szCs w:val="22"/>
        </w:rPr>
      </w:pPr>
      <w:r>
        <w:rPr>
          <w:rFonts w:cs="Arial"/>
          <w:b w:val="false"/>
          <w:i w:val="false"/>
          <w:caps w:val="false"/>
          <w:smallCaps w:val="false"/>
          <w:color w:val="222222"/>
          <w:spacing w:val="0"/>
          <w:sz w:val="22"/>
          <w:szCs w:val="22"/>
        </w:rPr>
        <w:t>E' vicepresidente dell’Internazionale Socialista (eletta a marzo 2017) e presidente onoraria dell'internazionale Socialista Donne, dopo esserne stata presidente per due mandati</w:t>
      </w:r>
    </w:p>
    <w:p>
      <w:pPr>
        <w:pStyle w:val="Normal"/>
        <w:bidi w:val="0"/>
        <w:spacing w:lineRule="auto" w:line="276" w:before="0" w:after="0"/>
        <w:jc w:val="left"/>
        <w:rPr>
          <w:rFonts w:ascii="Calibri" w:hAnsi="Calibri" w:cs="Arial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14"/>
          <w:szCs w:val="14"/>
        </w:rPr>
      </w:pPr>
      <w:r>
        <w:rPr>
          <w:rFonts w:cs="Arial"/>
          <w:b w:val="false"/>
          <w:i w:val="false"/>
          <w:caps w:val="false"/>
          <w:smallCaps w:val="false"/>
          <w:color w:val="222222"/>
          <w:spacing w:val="0"/>
          <w:sz w:val="14"/>
          <w:szCs w:val="14"/>
        </w:rPr>
      </w:r>
    </w:p>
    <w:p>
      <w:pPr>
        <w:pStyle w:val="Normal"/>
        <w:bidi w:val="0"/>
        <w:spacing w:lineRule="auto" w:line="276" w:before="0" w:after="0"/>
        <w:jc w:val="left"/>
        <w:rPr>
          <w:rFonts w:ascii="Calibri" w:hAnsi="Calibri"/>
          <w:sz w:val="22"/>
          <w:szCs w:val="22"/>
        </w:rPr>
      </w:pPr>
      <w:r>
        <w:rPr>
          <w:rFonts w:cs="Arial"/>
          <w:b w:val="false"/>
          <w:i w:val="false"/>
          <w:caps w:val="false"/>
          <w:smallCaps w:val="false"/>
          <w:color w:val="222222"/>
          <w:spacing w:val="0"/>
          <w:sz w:val="22"/>
          <w:szCs w:val="22"/>
        </w:rPr>
        <w:t>E' membro del: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0"/>
        <w:ind w:left="0" w:right="-57" w:hanging="0"/>
        <w:jc w:val="left"/>
        <w:rPr>
          <w:rFonts w:ascii="Calibri" w:hAnsi="Calibri" w:cs="Arial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22"/>
          <w:szCs w:val="22"/>
        </w:rPr>
      </w:pPr>
      <w:r>
        <w:rPr>
          <w:rFonts w:cs="Arial"/>
          <w:b w:val="false"/>
          <w:i w:val="false"/>
          <w:caps w:val="false"/>
          <w:smallCaps w:val="false"/>
          <w:color w:val="222222"/>
          <w:spacing w:val="0"/>
          <w:sz w:val="22"/>
          <w:szCs w:val="22"/>
        </w:rPr>
        <w:t>- Bureau della Commissione permanente delle donne del Partito del Socialismo Europeo</w:t>
      </w:r>
    </w:p>
    <w:p>
      <w:pPr>
        <w:pStyle w:val="Normal"/>
        <w:bidi w:val="0"/>
        <w:spacing w:lineRule="auto" w:line="276" w:before="0" w:after="0"/>
        <w:jc w:val="left"/>
        <w:rPr>
          <w:rFonts w:ascii="Calibri" w:hAnsi="Calibri" w:cs="Arial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22"/>
          <w:szCs w:val="22"/>
        </w:rPr>
      </w:pPr>
      <w:r>
        <w:rPr>
          <w:rFonts w:cs="Arial"/>
          <w:b w:val="false"/>
          <w:i w:val="false"/>
          <w:caps w:val="false"/>
          <w:smallCaps w:val="false"/>
          <w:color w:val="222222"/>
          <w:spacing w:val="0"/>
          <w:sz w:val="22"/>
          <w:szCs w:val="22"/>
        </w:rPr>
        <w:t>- Consiglio scientifico della Feps (Foundation for European Progressive Studies).</w:t>
      </w:r>
    </w:p>
    <w:p>
      <w:pPr>
        <w:pStyle w:val="Normal"/>
        <w:bidi w:val="0"/>
        <w:spacing w:lineRule="auto" w:line="276" w:before="0" w:after="0"/>
        <w:jc w:val="left"/>
        <w:rPr>
          <w:rFonts w:ascii="Calibri" w:hAnsi="Calibri" w:cs="Arial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22"/>
          <w:szCs w:val="22"/>
        </w:rPr>
      </w:pPr>
      <w:r>
        <w:rPr>
          <w:rFonts w:cs="Arial"/>
          <w:b w:val="false"/>
          <w:i w:val="false"/>
          <w:caps w:val="false"/>
          <w:smallCaps w:val="false"/>
          <w:color w:val="222222"/>
          <w:spacing w:val="0"/>
          <w:sz w:val="22"/>
          <w:szCs w:val="22"/>
        </w:rPr>
        <w:t xml:space="preserve">- Comitato scientifico della Fondazione Nilde Iotti </w:t>
      </w:r>
    </w:p>
    <w:p>
      <w:pPr>
        <w:pStyle w:val="Normal"/>
        <w:bidi w:val="0"/>
        <w:spacing w:lineRule="auto" w:line="276" w:before="0" w:after="0"/>
        <w:jc w:val="left"/>
        <w:rPr>
          <w:rFonts w:ascii="Calibri" w:hAnsi="Calibri" w:cs="Trebuchet MS;sans-serif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14"/>
          <w:szCs w:val="14"/>
        </w:rPr>
      </w:pPr>
      <w:r>
        <w:rPr>
          <w:rFonts w:cs="Trebuchet MS;sans-serif"/>
          <w:b w:val="false"/>
          <w:i w:val="false"/>
          <w:caps w:val="false"/>
          <w:smallCaps w:val="false"/>
          <w:color w:val="222222"/>
          <w:spacing w:val="0"/>
          <w:sz w:val="14"/>
          <w:szCs w:val="14"/>
        </w:rPr>
      </w:r>
    </w:p>
    <w:p>
      <w:pPr>
        <w:pStyle w:val="Normal"/>
        <w:bidi w:val="0"/>
        <w:spacing w:lineRule="auto" w:line="276" w:before="0" w:after="0"/>
        <w:jc w:val="left"/>
        <w:rPr>
          <w:rFonts w:ascii="Calibri" w:hAnsi="Calibri" w:cs="Arial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22"/>
          <w:szCs w:val="22"/>
        </w:rPr>
      </w:pPr>
      <w:r>
        <w:rPr>
          <w:rFonts w:cs="Arial"/>
          <w:b w:val="false"/>
          <w:i w:val="false"/>
          <w:caps w:val="false"/>
          <w:smallCaps w:val="false"/>
          <w:color w:val="222222"/>
          <w:spacing w:val="0"/>
          <w:sz w:val="22"/>
          <w:szCs w:val="22"/>
        </w:rPr>
        <w:t>Dal 2016 Presidente onoraria Comitato nazionale “Lina Merlin” insieme a Laura Puppato</w:t>
      </w:r>
    </w:p>
    <w:p>
      <w:pPr>
        <w:pStyle w:val="Normal"/>
        <w:bidi w:val="0"/>
        <w:spacing w:lineRule="auto" w:line="276" w:before="0" w:after="0"/>
        <w:jc w:val="left"/>
        <w:rPr>
          <w:rFonts w:ascii="Calibri" w:hAnsi="Calibri" w:cs="Trebuchet MS;sans-serif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14"/>
          <w:szCs w:val="14"/>
        </w:rPr>
      </w:pPr>
      <w:r>
        <w:rPr>
          <w:rFonts w:cs="Trebuchet MS;sans-serif"/>
          <w:b w:val="false"/>
          <w:i w:val="false"/>
          <w:caps w:val="false"/>
          <w:smallCaps w:val="false"/>
          <w:color w:val="222222"/>
          <w:spacing w:val="0"/>
          <w:sz w:val="14"/>
          <w:szCs w:val="14"/>
        </w:rPr>
      </w:r>
    </w:p>
    <w:p>
      <w:pPr>
        <w:pStyle w:val="Normal"/>
        <w:bidi w:val="0"/>
        <w:spacing w:lineRule="auto" w:line="276" w:before="0" w:after="0"/>
        <w:jc w:val="left"/>
        <w:rPr>
          <w:rFonts w:ascii="Calibri" w:hAnsi="Calibri" w:cs="Arial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22"/>
          <w:szCs w:val="22"/>
        </w:rPr>
      </w:pPr>
      <w:r>
        <w:rPr>
          <w:rFonts w:cs="Arial"/>
          <w:b w:val="false"/>
          <w:i w:val="false"/>
          <w:caps w:val="false"/>
          <w:smallCaps w:val="false"/>
          <w:color w:val="222222"/>
          <w:spacing w:val="0"/>
          <w:sz w:val="22"/>
          <w:szCs w:val="22"/>
        </w:rPr>
        <w:t>Dal 2004 al 2009 è stata parlamentare europea facendo parte della Commissione per i Diritti delle Donne e l’Uguaglianza di Genere e della Commissione Industria, Ricerca ed Energia</w:t>
      </w:r>
    </w:p>
    <w:p>
      <w:pPr>
        <w:pStyle w:val="Normal"/>
        <w:bidi w:val="0"/>
        <w:spacing w:lineRule="auto" w:line="276" w:before="0" w:after="0"/>
        <w:jc w:val="both"/>
        <w:rPr>
          <w:rFonts w:ascii="Calibri" w:hAnsi="Calibri" w:cs="Arial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22"/>
          <w:szCs w:val="22"/>
        </w:rPr>
      </w:pPr>
      <w:r>
        <w:rPr>
          <w:rFonts w:cs="Arial"/>
          <w:b w:val="false"/>
          <w:i w:val="false"/>
          <w:caps w:val="false"/>
          <w:smallCaps w:val="false"/>
          <w:color w:val="222222"/>
          <w:spacing w:val="0"/>
          <w:sz w:val="22"/>
          <w:szCs w:val="22"/>
        </w:rPr>
        <w:t>Il 4 novembre 2009 Le è stato assegnato il PARLIAMENT MAGAZINE MEP AWARD, il premio come “Miglior Parlamentare dell’anno” per il settore ricerca ed innovazione</w:t>
      </w:r>
    </w:p>
    <w:p>
      <w:pPr>
        <w:pStyle w:val="Normal"/>
        <w:bidi w:val="0"/>
        <w:spacing w:lineRule="auto" w:line="276" w:before="0" w:after="0"/>
        <w:ind w:left="0" w:hanging="16"/>
        <w:jc w:val="both"/>
        <w:rPr>
          <w:rFonts w:ascii="Calibri" w:hAnsi="Calibri" w:cs="Arial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14"/>
          <w:szCs w:val="14"/>
        </w:rPr>
      </w:pPr>
      <w:r>
        <w:rPr/>
      </w:r>
    </w:p>
    <w:p>
      <w:pPr>
        <w:pStyle w:val="Normal"/>
        <w:bidi w:val="0"/>
        <w:spacing w:lineRule="auto" w:line="276" w:before="0" w:after="0"/>
        <w:ind w:left="0" w:hanging="16"/>
        <w:jc w:val="both"/>
        <w:rPr/>
      </w:pPr>
      <w:r>
        <w:rPr>
          <w:rFonts w:cs="Arial"/>
          <w:b w:val="false"/>
          <w:i w:val="false"/>
          <w:caps w:val="false"/>
          <w:smallCaps w:val="false"/>
          <w:color w:val="222222"/>
          <w:spacing w:val="0"/>
          <w:sz w:val="22"/>
          <w:szCs w:val="22"/>
        </w:rPr>
        <w:t>Nel 2000 ha costituito la Fondazione A.J. Zaninoni, di cui è presidente, i cui scopi sono la diffusione della cultura del lavoro, lo studio dei trend dell'economia, favorire opportunità equivalenti e percorsi tendenti alla parità.</w:t>
      </w:r>
    </w:p>
    <w:p>
      <w:pPr>
        <w:pStyle w:val="Normal"/>
        <w:jc w:val="both"/>
        <w:rPr>
          <w:rFonts w:cs="Arial"/>
          <w:color w:val="222222"/>
        </w:rPr>
      </w:pPr>
      <w:r>
        <w:rPr>
          <w:rFonts w:cs="Arial"/>
          <w:color w:val="222222"/>
        </w:rPr>
      </w:r>
    </w:p>
    <w:p>
      <w:pPr>
        <w:pStyle w:val="ListParagraph"/>
        <w:widowControl/>
        <w:numPr>
          <w:ilvl w:val="0"/>
          <w:numId w:val="1"/>
        </w:numPr>
        <w:bidi w:val="0"/>
        <w:spacing w:lineRule="auto" w:line="276" w:before="0" w:after="200"/>
        <w:ind w:left="397" w:right="0" w:hanging="397"/>
        <w:contextualSpacing/>
        <w:jc w:val="left"/>
        <w:rPr/>
      </w:pPr>
      <w:r>
        <w:rPr/>
        <w:t>Titolo della relazione: TESTAMENTO BIOLOGICO, non possiamo più attendere</w:t>
      </w:r>
    </w:p>
    <w:p>
      <w:pPr>
        <w:pStyle w:val="ListParagraph"/>
        <w:ind w:left="426" w:hanging="0"/>
        <w:rPr/>
      </w:pPr>
      <w:r>
        <w:rPr/>
        <w:t xml:space="preserve">In cosa consiste il testamento biologico?: </w:t>
      </w:r>
    </w:p>
    <w:p>
      <w:pPr>
        <w:pStyle w:val="ListParagraph"/>
        <w:numPr>
          <w:ilvl w:val="0"/>
          <w:numId w:val="2"/>
        </w:numPr>
        <w:ind w:left="426" w:hanging="16"/>
        <w:jc w:val="both"/>
        <w:rPr>
          <w:rFonts w:cs="Trebuchet MS"/>
          <w:color w:val="222222"/>
        </w:rPr>
      </w:pPr>
      <w:r>
        <w:rPr>
          <w:rFonts w:cs="Trebuchet MS"/>
          <w:color w:val="222222"/>
        </w:rPr>
        <w:t>eutanasia?</w:t>
      </w:r>
    </w:p>
    <w:p>
      <w:pPr>
        <w:pStyle w:val="ListParagraph"/>
        <w:numPr>
          <w:ilvl w:val="0"/>
          <w:numId w:val="2"/>
        </w:numPr>
        <w:ind w:left="426" w:hanging="16"/>
        <w:jc w:val="both"/>
        <w:rPr/>
      </w:pPr>
      <w:r>
        <w:rPr>
          <w:rFonts w:cs="Trebuchet MS"/>
          <w:color w:val="222222"/>
        </w:rPr>
        <w:t>Cure palliative?</w:t>
      </w:r>
    </w:p>
    <w:p>
      <w:pPr>
        <w:pStyle w:val="ListParagraph"/>
        <w:numPr>
          <w:ilvl w:val="0"/>
          <w:numId w:val="2"/>
        </w:numPr>
        <w:ind w:left="426" w:hanging="16"/>
        <w:jc w:val="both"/>
        <w:rPr/>
      </w:pPr>
      <w:r>
        <w:rPr>
          <w:rFonts w:cs="Trebuchet MS"/>
          <w:color w:val="222222"/>
        </w:rPr>
        <w:t>Rifiuto di accanimento terapeutico?</w:t>
      </w:r>
    </w:p>
    <w:p>
      <w:pPr>
        <w:pStyle w:val="ListParagraph"/>
        <w:numPr>
          <w:ilvl w:val="0"/>
          <w:numId w:val="2"/>
        </w:numPr>
        <w:ind w:left="426" w:hanging="16"/>
        <w:jc w:val="both"/>
        <w:rPr/>
      </w:pPr>
      <w:r>
        <w:rPr>
          <w:rFonts w:cs="Trebuchet MS"/>
          <w:color w:val="222222"/>
        </w:rPr>
        <w:t>Suicidio assistito?</w:t>
      </w:r>
    </w:p>
    <w:p>
      <w:pPr>
        <w:pStyle w:val="ListParagraph"/>
        <w:numPr>
          <w:ilvl w:val="0"/>
          <w:numId w:val="2"/>
        </w:numPr>
        <w:ind w:left="426" w:hanging="16"/>
        <w:jc w:val="both"/>
        <w:rPr/>
      </w:pPr>
      <w:r>
        <w:rPr>
          <w:rFonts w:cs="Trebuchet MS"/>
          <w:color w:val="222222"/>
        </w:rPr>
        <w:t>Etc.</w:t>
      </w:r>
    </w:p>
    <w:p>
      <w:pPr>
        <w:pStyle w:val="ListParagraph"/>
        <w:ind w:left="0" w:hanging="16"/>
        <w:jc w:val="both"/>
        <w:rPr>
          <w:rFonts w:cs="Trebuchet MS"/>
          <w:color w:val="222222"/>
        </w:rPr>
      </w:pPr>
      <w:r>
        <w:rPr>
          <w:rFonts w:cs="Trebuchet MS"/>
          <w:color w:val="222222"/>
        </w:rPr>
        <w:t xml:space="preserve">Nei </w:t>
      </w:r>
      <w:r>
        <w:rPr>
          <w:rFonts w:cs="Trebuchet MS"/>
          <w:b/>
          <w:color w:val="222222"/>
        </w:rPr>
        <w:t>non addetti</w:t>
      </w:r>
      <w:r>
        <w:rPr>
          <w:rFonts w:cs="Trebuchet MS"/>
          <w:color w:val="222222"/>
        </w:rPr>
        <w:t xml:space="preserve"> i termini creano confusione, vi è necessità di chiarimento.</w:t>
      </w:r>
    </w:p>
    <w:p>
      <w:pPr>
        <w:pStyle w:val="ListParagraph"/>
        <w:ind w:left="0" w:hanging="16"/>
        <w:jc w:val="both"/>
        <w:rPr>
          <w:rFonts w:cs="Trebuchet MS"/>
          <w:color w:val="222222"/>
        </w:rPr>
      </w:pPr>
      <w:r>
        <w:rPr>
          <w:rFonts w:cs="Trebuchet MS"/>
          <w:color w:val="222222"/>
        </w:rPr>
      </w:r>
    </w:p>
    <w:p>
      <w:pPr>
        <w:pStyle w:val="ListParagraph"/>
        <w:ind w:left="0" w:hanging="16"/>
        <w:jc w:val="both"/>
        <w:rPr>
          <w:rFonts w:cs="Trebuchet MS"/>
          <w:color w:val="222222"/>
        </w:rPr>
      </w:pPr>
      <w:r>
        <w:rPr>
          <w:rFonts w:cs="Trebuchet MS"/>
          <w:color w:val="222222"/>
        </w:rPr>
        <w:t>Disegno di Legge, iter: a che punto siamo?</w:t>
      </w:r>
    </w:p>
    <w:p>
      <w:pPr>
        <w:pStyle w:val="ListParagraph"/>
        <w:ind w:left="0" w:hanging="16"/>
        <w:jc w:val="both"/>
        <w:rPr/>
      </w:pPr>
      <w:r>
        <w:rPr>
          <w:rFonts w:cs="Trebuchet MS"/>
          <w:color w:val="222222"/>
        </w:rPr>
        <w:t>L’On. Pia Locatelli co-promotrice del testo di legge farà un po’ di chiarezza nella nostra confusione di “uomini della strada”.</w:t>
      </w:r>
    </w:p>
    <w:p>
      <w:pPr>
        <w:pStyle w:val="ListParagraph"/>
        <w:spacing w:before="0" w:after="200"/>
        <w:ind w:left="0" w:hanging="16"/>
        <w:contextualSpacing/>
        <w:jc w:val="both"/>
        <w:rPr/>
      </w:pPr>
      <w:r>
        <w:rPr/>
      </w:r>
    </w:p>
    <w:sectPr>
      <w:type w:val="nextPage"/>
      <w:pgSz w:w="11906" w:h="16838"/>
      <w:pgMar w:left="1134" w:right="1134" w:header="0" w:top="709" w:footer="0" w:bottom="993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  <w:font w:name="Calibri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"/>
      <w:lvlJc w:val="left"/>
      <w:pPr>
        <w:ind w:left="1434" w:hanging="360"/>
      </w:pPr>
      <w:rPr>
        <w:rFonts w:ascii="Wingdings" w:hAnsi="Wingdings" w:cs="Wingdings" w:hint="default"/>
        <w:rFonts w:cs="Wingdings"/>
      </w:rPr>
    </w:lvl>
    <w:lvl w:ilvl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74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594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34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754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194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-"/>
      <w:lvlJc w:val="left"/>
      <w:pPr>
        <w:ind w:left="1794" w:hanging="360"/>
      </w:pPr>
      <w:rPr>
        <w:rFonts w:ascii="Calibri" w:hAnsi="Calibri" w:cs="Calibri" w:hint="default"/>
        <w:rFonts w:cs="Trebuchet MS"/>
      </w:rPr>
    </w:lvl>
    <w:lvl w:ilvl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3234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954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394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6114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554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0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10fa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sid w:val="00b85ce7"/>
    <w:rPr>
      <w:b/>
      <w:bCs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eastAsia="Calibri" w:cs="Trebuchet MS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Enfasiforte">
    <w:name w:val="Enfasi forte"/>
    <w:qFormat/>
    <w:rPr>
      <w:b/>
      <w:bCs/>
    </w:rPr>
  </w:style>
  <w:style w:type="character" w:styleId="ListLabel8">
    <w:name w:val="ListLabel 8"/>
    <w:qFormat/>
    <w:rPr>
      <w:rFonts w:cs="Wingdings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Wingdings"/>
    </w:rPr>
  </w:style>
  <w:style w:type="character" w:styleId="ListLabel11">
    <w:name w:val="ListLabel 11"/>
    <w:qFormat/>
    <w:rPr>
      <w:rFonts w:cs="Symbol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Wingdings"/>
    </w:rPr>
  </w:style>
  <w:style w:type="character" w:styleId="ListLabel14">
    <w:name w:val="ListLabel 14"/>
    <w:qFormat/>
    <w:rPr>
      <w:rFonts w:cs="Symbol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Wingdings"/>
    </w:rPr>
  </w:style>
  <w:style w:type="character" w:styleId="ListLabel17">
    <w:name w:val="ListLabel 17"/>
    <w:qFormat/>
    <w:rPr>
      <w:rFonts w:cs="Trebuchet MS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Wingdings"/>
    </w:rPr>
  </w:style>
  <w:style w:type="character" w:styleId="ListLabel20">
    <w:name w:val="ListLabel 20"/>
    <w:qFormat/>
    <w:rPr>
      <w:rFonts w:cs="Symbol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Wingdings"/>
    </w:rPr>
  </w:style>
  <w:style w:type="character" w:styleId="ListLabel23">
    <w:name w:val="ListLabel 23"/>
    <w:qFormat/>
    <w:rPr>
      <w:rFonts w:cs="Symbol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Wingdings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85ce7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Application>LibreOffice/5.3.4.2$Windows_x86 LibreOffice_project/f82d347ccc0be322489bf7da61d7e4ad13fe2ff3</Application>
  <Pages>1</Pages>
  <Words>340</Words>
  <Characters>2039</Characters>
  <CharactersWithSpaces>2346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2017-10-16T14:53:00Z</dcterms:created>
  <dc:creator>matteozambelli</dc:creator>
  <dc:description/>
  <dc:language>it-IT</dc:language>
  <cp:lastModifiedBy/>
  <cp:lastPrinted>2017-10-16T15:07:00Z</cp:lastPrinted>
  <dcterms:modified xsi:type="dcterms:W3CDTF">2017-10-17T15:59:56Z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